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contextualSpacing w:val="0"/>
        <w:rPr/>
      </w:pPr>
      <w:r w:rsidDel="00000000" w:rsidR="00000000" w:rsidRPr="00000000">
        <w:rPr/>
        <w:drawing>
          <wp:inline distB="19050" distT="19050" distL="19050" distR="19050">
            <wp:extent cx="5734050" cy="24130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41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color w:val="212121"/>
          <w:sz w:val="23"/>
          <w:szCs w:val="23"/>
          <w:rtl w:val="0"/>
        </w:rPr>
        <w:t xml:space="preserve">Annotations on a marking schedule can be used to justify teacher judgement OR to record teacher observations and conversations with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contextualSpacing w:val="0"/>
        <w:rPr/>
      </w:pPr>
      <w:r w:rsidDel="00000000" w:rsidR="00000000" w:rsidRPr="00000000">
        <w:rPr/>
        <w:drawing>
          <wp:inline distB="19050" distT="19050" distL="19050" distR="19050">
            <wp:extent cx="5734050" cy="3225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Programme 6 - Electronics</w:t>
    </w:r>
  </w:p>
  <w:p w:rsidR="00000000" w:rsidDel="00000000" w:rsidP="00000000" w:rsidRDefault="00000000" w:rsidRPr="00000000" w14:paraId="00000006">
    <w:pPr>
      <w:contextualSpacing w:val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Digital Technologies and Hangarau Matihiko</w:t>
    </w:r>
  </w:p>
  <w:p w:rsidR="00000000" w:rsidDel="00000000" w:rsidP="00000000" w:rsidRDefault="00000000" w:rsidRPr="00000000" w14:paraId="00000007">
    <w:pPr>
      <w:contextualSpacing w:val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8">
    <w:pPr>
      <w:contextualSpacing w:val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contextualSpacing w:val="0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Assessment delivery and strategies</w:t>
    </w:r>
  </w:p>
  <w:p w:rsidR="00000000" w:rsidDel="00000000" w:rsidP="00000000" w:rsidRDefault="00000000" w:rsidRPr="00000000" w14:paraId="0000000A">
    <w:pPr>
      <w:contextualSpacing w:val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color w:val="212121"/>
        <w:sz w:val="24"/>
        <w:szCs w:val="24"/>
        <w:rtl w:val="0"/>
      </w:rPr>
      <w:t xml:space="preserve">Grouping Portfolios based on Teacher observation 1st - Mark against schedule 2nd. Remember that not all evidence makes it into a student portfolio.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contextualSpacing w:val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